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239D" w14:textId="6D519DA2" w:rsidR="007B7531" w:rsidRPr="006A40A7" w:rsidRDefault="006A40A7" w:rsidP="006A40A7">
      <w:pPr>
        <w:spacing w:line="360" w:lineRule="auto"/>
        <w:jc w:val="both"/>
      </w:pPr>
      <w:r w:rsidRPr="006A40A7">
        <w:t xml:space="preserve">Bakr </w:t>
      </w:r>
      <w:proofErr w:type="spellStart"/>
      <w:r w:rsidRPr="006A40A7">
        <w:t>Elazab</w:t>
      </w:r>
      <w:proofErr w:type="spellEnd"/>
      <w:r w:rsidRPr="006A40A7">
        <w:t xml:space="preserve"> A, Hassan A, Ismail SRM, Mohamed El </w:t>
      </w:r>
      <w:proofErr w:type="spellStart"/>
      <w:r w:rsidRPr="006A40A7">
        <w:t>Adalany</w:t>
      </w:r>
      <w:proofErr w:type="spellEnd"/>
      <w:r w:rsidRPr="006A40A7">
        <w:t xml:space="preserve">. Assessment of vitamin D in erectile dysfunction patients with type 2 diabetes. </w:t>
      </w:r>
      <w:proofErr w:type="spellStart"/>
      <w:r w:rsidRPr="006A40A7">
        <w:t>Edorium</w:t>
      </w:r>
      <w:proofErr w:type="spellEnd"/>
      <w:r w:rsidRPr="006A40A7">
        <w:t xml:space="preserve"> J Med 2026;5(1):1–9.</w:t>
      </w:r>
    </w:p>
    <w:sectPr w:rsidR="007B7531" w:rsidRPr="006A4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31"/>
    <w:rsid w:val="0013709F"/>
    <w:rsid w:val="0015459F"/>
    <w:rsid w:val="001B6D82"/>
    <w:rsid w:val="001E419D"/>
    <w:rsid w:val="002A3AEC"/>
    <w:rsid w:val="004F6E26"/>
    <w:rsid w:val="00603117"/>
    <w:rsid w:val="006A40A7"/>
    <w:rsid w:val="007B7531"/>
    <w:rsid w:val="00D80848"/>
    <w:rsid w:val="00DC0000"/>
    <w:rsid w:val="00E6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BC410"/>
  <w15:chartTrackingRefBased/>
  <w15:docId w15:val="{054B3672-C937-4D93-8158-645BB622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5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5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5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5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2</cp:revision>
  <dcterms:created xsi:type="dcterms:W3CDTF">2026-01-27T11:54:00Z</dcterms:created>
  <dcterms:modified xsi:type="dcterms:W3CDTF">2026-02-04T09:04:00Z</dcterms:modified>
</cp:coreProperties>
</file>